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0292B2D" w:rsidR="008145D7" w:rsidRPr="001E3C75" w:rsidRDefault="008145D7" w:rsidP="00171E66">
      <w:pPr>
        <w:spacing w:before="0" w:after="0" w:line="240" w:lineRule="auto"/>
      </w:pPr>
      <w:r w:rsidRPr="001E3C75">
        <w:t xml:space="preserve">Příloha č. </w:t>
      </w:r>
      <w:r w:rsidR="0006177B" w:rsidRPr="001E3C75">
        <w:t>2</w:t>
      </w:r>
      <w:r w:rsidRPr="001E3C75">
        <w:t xml:space="preserve"> </w:t>
      </w:r>
      <w:r w:rsidR="0006177B" w:rsidRPr="001E3C75">
        <w:t xml:space="preserve">Kupní smlouvy </w:t>
      </w:r>
    </w:p>
    <w:p w14:paraId="355C8B34" w14:textId="06F23D90" w:rsidR="00FD2277" w:rsidRPr="00FD2277" w:rsidRDefault="0006177B" w:rsidP="00FD2277">
      <w:pPr>
        <w:spacing w:line="240" w:lineRule="auto"/>
        <w:jc w:val="both"/>
        <w:outlineLvl w:val="0"/>
        <w:rPr>
          <w:rFonts w:ascii="Verdana" w:hAnsi="Verdana" w:cs="Times New Roman"/>
          <w:b/>
          <w:bCs/>
          <w:kern w:val="28"/>
          <w:lang w:eastAsia="x-none"/>
        </w:rPr>
      </w:pPr>
      <w:r w:rsidRPr="001E3C75">
        <w:rPr>
          <w:rFonts w:ascii="Verdana" w:hAnsi="Verdana"/>
          <w:b/>
          <w:sz w:val="24"/>
        </w:rPr>
        <w:t>Technická specifikace předmětu koupě</w:t>
      </w:r>
      <w:r w:rsidRPr="001E3C75">
        <w:rPr>
          <w:rStyle w:val="tun"/>
          <w:rFonts w:eastAsiaTheme="minorHAnsi"/>
        </w:rPr>
        <w:t xml:space="preserve"> </w:t>
      </w:r>
    </w:p>
    <w:p w14:paraId="55FD13A9" w14:textId="77777777" w:rsidR="00FD2277" w:rsidRDefault="00FD2277" w:rsidP="0075648E">
      <w:pPr>
        <w:spacing w:before="0" w:after="0"/>
        <w:rPr>
          <w:rFonts w:ascii="Verdana" w:eastAsia="Verdana" w:hAnsi="Verdana" w:cs="Times New Roman"/>
          <w:b/>
        </w:rPr>
      </w:pPr>
    </w:p>
    <w:p w14:paraId="6125D130" w14:textId="25B96FA7" w:rsidR="0075648E" w:rsidRPr="0075648E" w:rsidRDefault="0075648E" w:rsidP="0075648E">
      <w:pPr>
        <w:spacing w:before="0" w:after="0"/>
        <w:rPr>
          <w:rFonts w:ascii="Verdana" w:eastAsia="Verdana" w:hAnsi="Verdana" w:cs="Times New Roman"/>
          <w:b/>
        </w:rPr>
      </w:pPr>
      <w:r w:rsidRPr="0075648E">
        <w:rPr>
          <w:rFonts w:ascii="Verdana" w:eastAsia="Verdana" w:hAnsi="Verdana" w:cs="Times New Roman"/>
          <w:b/>
        </w:rPr>
        <w:t xml:space="preserve">a) </w:t>
      </w:r>
      <w:r w:rsidRPr="0075648E">
        <w:rPr>
          <w:rFonts w:ascii="Verdana" w:eastAsia="Verdana" w:hAnsi="Verdana" w:cs="Times New Roman"/>
          <w:b/>
          <w:bCs/>
        </w:rPr>
        <w:t xml:space="preserve">KVDZ60-b-KS-1:40-E2 C-8064 typ11 </w:t>
      </w:r>
      <w:r w:rsidRPr="0075648E">
        <w:rPr>
          <w:rFonts w:ascii="Verdana" w:eastAsia="Verdana" w:hAnsi="Verdana" w:cs="Times New Roman"/>
          <w:b/>
        </w:rPr>
        <w:t>- 2 ks</w:t>
      </w:r>
    </w:p>
    <w:p w14:paraId="02D6F642" w14:textId="77777777" w:rsidR="0075648E" w:rsidRPr="0075648E" w:rsidRDefault="0075648E" w:rsidP="0075648E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75648E">
        <w:rPr>
          <w:rFonts w:ascii="Verdana" w:eastAsia="Verdana" w:hAnsi="Verdana" w:cs="Arial"/>
          <w:noProof/>
          <w:u w:val="single"/>
        </w:rPr>
        <w:t>Parametry dilatačního zařízení:</w:t>
      </w:r>
    </w:p>
    <w:p w14:paraId="0BB1F0F6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Druh konstrukce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KVDZ</w:t>
      </w:r>
    </w:p>
    <w:p w14:paraId="4475BC93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Poloměr oblouku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0 m</w:t>
      </w:r>
    </w:p>
    <w:p w14:paraId="73D02E81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Dilatační délka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400 mm</w:t>
      </w:r>
    </w:p>
    <w:p w14:paraId="1494F6FD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Posun dilatační části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až 330 mm</w:t>
      </w:r>
    </w:p>
    <w:p w14:paraId="31D3FF95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Pohyblivá část KVDZ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kolenová kolejnice</w:t>
      </w:r>
    </w:p>
    <w:p w14:paraId="2D00CF65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Soustava železničního svršku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60 E2</w:t>
      </w:r>
    </w:p>
    <w:p w14:paraId="13212E7C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Podkladnice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žebrové s úklonem 1:40</w:t>
      </w:r>
    </w:p>
    <w:p w14:paraId="7B0107E3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Pevnost oceli hlavních součástí KVDZ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R350HT</w:t>
      </w:r>
    </w:p>
    <w:p w14:paraId="71987C2F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 xml:space="preserve">Typ pražců 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betonové</w:t>
      </w:r>
    </w:p>
    <w:p w14:paraId="01E1067F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Druh upevnění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 xml:space="preserve">pružné </w:t>
      </w:r>
    </w:p>
    <w:p w14:paraId="30C2ED83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Dodavatelem KVDZ bude provedeno základní (první) broušení po jejím vložení do provozované koleje do jednoho měsíce, a to na základě výzvy objednatele.</w:t>
      </w:r>
    </w:p>
    <w:p w14:paraId="411E76FC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</w:p>
    <w:p w14:paraId="48C77B76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Další parametry a součásti KVDZ k dodání:</w:t>
      </w:r>
    </w:p>
    <w:p w14:paraId="27D83682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Bez koncového vrtání, s oválnými otvory umožňujícími pohyb kolenových kolejnic, pojistné úhelníky a tyče, opěrky jazykových a kolenových kolejnic.</w:t>
      </w:r>
    </w:p>
    <w:p w14:paraId="382C6CF6" w14:textId="77777777" w:rsidR="003B0D93" w:rsidRPr="00F75BDC" w:rsidRDefault="003B0D93" w:rsidP="003B0D93">
      <w:pPr>
        <w:spacing w:before="0" w:after="0"/>
        <w:rPr>
          <w:rFonts w:ascii="Verdana" w:eastAsia="Verdana" w:hAnsi="Verdana" w:cs="Times New Roman"/>
          <w:highlight w:val="cyan"/>
        </w:rPr>
      </w:pPr>
    </w:p>
    <w:p w14:paraId="615D8754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  <w:b/>
        </w:rPr>
      </w:pPr>
      <w:r w:rsidRPr="0075648E">
        <w:rPr>
          <w:rFonts w:ascii="Verdana" w:eastAsia="Verdana" w:hAnsi="Verdana" w:cs="Times New Roman"/>
          <w:b/>
        </w:rPr>
        <w:t xml:space="preserve">b) </w:t>
      </w:r>
      <w:r w:rsidRPr="0075648E">
        <w:rPr>
          <w:rFonts w:ascii="Verdana" w:eastAsia="Verdana" w:hAnsi="Verdana" w:cs="Times New Roman"/>
          <w:b/>
          <w:bCs/>
        </w:rPr>
        <w:t xml:space="preserve">KVDZ60-b-KS-1:40-E2-R650 C-8064 typ11 </w:t>
      </w:r>
      <w:r w:rsidRPr="0075648E">
        <w:rPr>
          <w:rFonts w:ascii="Verdana" w:eastAsia="Verdana" w:hAnsi="Verdana" w:cs="Times New Roman"/>
          <w:b/>
        </w:rPr>
        <w:t>- 2 ks</w:t>
      </w:r>
    </w:p>
    <w:p w14:paraId="5C1D7AE7" w14:textId="77777777" w:rsidR="0075648E" w:rsidRPr="0075648E" w:rsidRDefault="0075648E" w:rsidP="0075648E">
      <w:pPr>
        <w:tabs>
          <w:tab w:val="left" w:pos="1418"/>
        </w:tabs>
        <w:spacing w:before="60" w:after="60"/>
        <w:ind w:right="764"/>
        <w:rPr>
          <w:rFonts w:ascii="Verdana" w:eastAsia="Verdana" w:hAnsi="Verdana" w:cs="Arial"/>
          <w:noProof/>
          <w:u w:val="single"/>
        </w:rPr>
      </w:pPr>
      <w:r w:rsidRPr="0075648E">
        <w:rPr>
          <w:rFonts w:ascii="Verdana" w:eastAsia="Verdana" w:hAnsi="Verdana" w:cs="Arial"/>
          <w:noProof/>
          <w:u w:val="single"/>
        </w:rPr>
        <w:t>Parametry dilatačního zařízení:</w:t>
      </w:r>
    </w:p>
    <w:p w14:paraId="7200E481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Druh konstrukce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KVDZ</w:t>
      </w:r>
    </w:p>
    <w:p w14:paraId="274B1AFB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Poloměr oblouku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650 m</w:t>
      </w:r>
    </w:p>
    <w:p w14:paraId="0756DB3D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Dilatační délka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400 mm</w:t>
      </w:r>
    </w:p>
    <w:p w14:paraId="2A2574A6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Posun dilatační části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až 330 mm</w:t>
      </w:r>
    </w:p>
    <w:p w14:paraId="79F8D4B3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Pohyblivá část KVDZ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kolenová kolejnice</w:t>
      </w:r>
    </w:p>
    <w:p w14:paraId="5A04D368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Soustava železničního svršku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60 E2</w:t>
      </w:r>
    </w:p>
    <w:p w14:paraId="062F2AB4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Podkladnice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žebrové s úklonem 1:40</w:t>
      </w:r>
    </w:p>
    <w:p w14:paraId="5A8600C6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Pevnost oceli hlavních součástí KVDZ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R350HT</w:t>
      </w:r>
    </w:p>
    <w:p w14:paraId="61D88D69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 xml:space="preserve">Typ pražců 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>betonové</w:t>
      </w:r>
    </w:p>
    <w:p w14:paraId="4BB5DB0C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Druh upevnění</w:t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</w:r>
      <w:r w:rsidRPr="0075648E">
        <w:rPr>
          <w:rFonts w:ascii="Verdana" w:eastAsia="Verdana" w:hAnsi="Verdana" w:cs="Times New Roman"/>
        </w:rPr>
        <w:tab/>
        <w:t xml:space="preserve">pružné </w:t>
      </w:r>
    </w:p>
    <w:p w14:paraId="1AA13666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Dodavatelem KVDZ bude provedeno základní (první) broušení po jejím vložení do provozované koleje do jednoho měsíce, a to na základě výzvy objednatele.</w:t>
      </w:r>
    </w:p>
    <w:p w14:paraId="35B0B522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</w:p>
    <w:p w14:paraId="5721972B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Další parametry a součásti KVDZ k dodání:</w:t>
      </w:r>
    </w:p>
    <w:p w14:paraId="3EB120D7" w14:textId="77777777" w:rsidR="0075648E" w:rsidRPr="0075648E" w:rsidRDefault="0075648E" w:rsidP="0075648E">
      <w:pPr>
        <w:spacing w:before="0" w:after="0"/>
        <w:rPr>
          <w:rFonts w:ascii="Verdana" w:eastAsia="Verdana" w:hAnsi="Verdana" w:cs="Times New Roman"/>
        </w:rPr>
      </w:pPr>
      <w:r w:rsidRPr="0075648E">
        <w:rPr>
          <w:rFonts w:ascii="Verdana" w:eastAsia="Verdana" w:hAnsi="Verdana" w:cs="Times New Roman"/>
        </w:rPr>
        <w:t>Bez koncového vrtání, s oválnými otvory umožňujícími pohyb kolenových kolejnic, pojistné úhelníky a tyče, opěrky jazykových a kolenových kolejnic.</w:t>
      </w:r>
    </w:p>
    <w:p w14:paraId="1181DDF9" w14:textId="77777777" w:rsidR="0075648E" w:rsidRDefault="0075648E" w:rsidP="00171E66">
      <w:pPr>
        <w:spacing w:before="0" w:after="0"/>
        <w:rPr>
          <w:rFonts w:ascii="Verdana" w:eastAsia="Verdana" w:hAnsi="Verdana" w:cs="Times New Roman"/>
          <w:b/>
        </w:rPr>
      </w:pPr>
    </w:p>
    <w:p w14:paraId="6EAD534C" w14:textId="77777777" w:rsidR="0075648E" w:rsidRDefault="0075648E" w:rsidP="00171E66">
      <w:pPr>
        <w:spacing w:before="0" w:after="0"/>
        <w:rPr>
          <w:rFonts w:ascii="Verdana" w:eastAsia="Verdana" w:hAnsi="Verdana" w:cs="Times New Roman"/>
          <w:b/>
        </w:rPr>
      </w:pPr>
    </w:p>
    <w:p w14:paraId="10A5EA3A" w14:textId="77777777" w:rsidR="009F392E" w:rsidRPr="008145D7" w:rsidRDefault="009F392E" w:rsidP="0006177B">
      <w:pPr>
        <w:spacing w:before="240" w:after="60" w:line="240" w:lineRule="auto"/>
        <w:jc w:val="both"/>
        <w:outlineLvl w:val="0"/>
      </w:pPr>
    </w:p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277F7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6745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10A5EA5E" wp14:editId="45ED87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6BB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0A5EA60" wp14:editId="447E6F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B9B42F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8D1768C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237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4E006575" w14:textId="77777777" w:rsid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</w:p>
        <w:p w14:paraId="29C8BD13" w14:textId="51D75C65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Oblastní ředitelství Praha</w:t>
          </w:r>
        </w:p>
        <w:p w14:paraId="150A4138" w14:textId="77777777" w:rsidR="00BB3417" w:rsidRPr="00BB3417" w:rsidRDefault="00BB3417" w:rsidP="00BB3417">
          <w:pPr>
            <w:spacing w:before="0" w:after="0"/>
            <w:jc w:val="both"/>
            <w:rPr>
              <w:rFonts w:ascii="Verdana" w:eastAsia="Calibri" w:hAnsi="Verdana" w:cs="Times New Roman"/>
              <w:sz w:val="12"/>
              <w:szCs w:val="12"/>
            </w:rPr>
          </w:pPr>
          <w:r w:rsidRPr="00BB3417">
            <w:rPr>
              <w:rFonts w:ascii="Verdana" w:eastAsia="Calibri" w:hAnsi="Verdana" w:cs="Times New Roman"/>
              <w:sz w:val="12"/>
              <w:szCs w:val="12"/>
            </w:rPr>
            <w:t>Partyzánská 24</w:t>
          </w:r>
        </w:p>
        <w:p w14:paraId="10A5EA5A" w14:textId="4574C77A" w:rsidR="003503EC" w:rsidRDefault="00BB3417" w:rsidP="00BB3417">
          <w:pPr>
            <w:pStyle w:val="Zpat"/>
            <w:spacing w:before="0"/>
          </w:pPr>
          <w:r w:rsidRPr="00BB3417">
            <w:rPr>
              <w:rFonts w:ascii="Verdana" w:eastAsia="Calibri" w:hAnsi="Verdana" w:cs="Times New Roman"/>
              <w:szCs w:val="12"/>
            </w:rPr>
            <w:t>170 00 Praha 7 -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0A5EA64" wp14:editId="0090EF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EBF8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0A5EA66" wp14:editId="53464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2728EE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25BC" w14:textId="3AA5E9E1" w:rsidR="00F75BDC" w:rsidRDefault="00F75B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577B923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FCBC619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 wp14:anchorId="10A5EA62" wp14:editId="417A014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A3455A5"/>
    <w:multiLevelType w:val="hybridMultilevel"/>
    <w:tmpl w:val="A426F5CA"/>
    <w:lvl w:ilvl="0" w:tplc="AF5494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57764271">
    <w:abstractNumId w:val="2"/>
  </w:num>
  <w:num w:numId="2" w16cid:durableId="1935936139">
    <w:abstractNumId w:val="1"/>
  </w:num>
  <w:num w:numId="3" w16cid:durableId="20860988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83337612">
    <w:abstractNumId w:val="8"/>
  </w:num>
  <w:num w:numId="5" w16cid:durableId="160046895">
    <w:abstractNumId w:val="3"/>
  </w:num>
  <w:num w:numId="6" w16cid:durableId="1933658388">
    <w:abstractNumId w:val="4"/>
  </w:num>
  <w:num w:numId="7" w16cid:durableId="418988751">
    <w:abstractNumId w:val="0"/>
  </w:num>
  <w:num w:numId="8" w16cid:durableId="1130591961">
    <w:abstractNumId w:val="5"/>
  </w:num>
  <w:num w:numId="9" w16cid:durableId="3545058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8209655">
    <w:abstractNumId w:val="4"/>
  </w:num>
  <w:num w:numId="11" w16cid:durableId="589702656">
    <w:abstractNumId w:val="1"/>
  </w:num>
  <w:num w:numId="12" w16cid:durableId="1755124958">
    <w:abstractNumId w:val="4"/>
  </w:num>
  <w:num w:numId="13" w16cid:durableId="1630087027">
    <w:abstractNumId w:val="4"/>
  </w:num>
  <w:num w:numId="14" w16cid:durableId="1105999545">
    <w:abstractNumId w:val="4"/>
  </w:num>
  <w:num w:numId="15" w16cid:durableId="37047750">
    <w:abstractNumId w:val="4"/>
  </w:num>
  <w:num w:numId="16" w16cid:durableId="1508251159">
    <w:abstractNumId w:val="9"/>
  </w:num>
  <w:num w:numId="17" w16cid:durableId="128400972">
    <w:abstractNumId w:val="2"/>
  </w:num>
  <w:num w:numId="18" w16cid:durableId="846333914">
    <w:abstractNumId w:val="9"/>
  </w:num>
  <w:num w:numId="19" w16cid:durableId="1768038998">
    <w:abstractNumId w:val="9"/>
  </w:num>
  <w:num w:numId="20" w16cid:durableId="1082994340">
    <w:abstractNumId w:val="9"/>
  </w:num>
  <w:num w:numId="21" w16cid:durableId="1692996086">
    <w:abstractNumId w:val="9"/>
  </w:num>
  <w:num w:numId="22" w16cid:durableId="1314021230">
    <w:abstractNumId w:val="4"/>
  </w:num>
  <w:num w:numId="23" w16cid:durableId="1725719891">
    <w:abstractNumId w:val="1"/>
  </w:num>
  <w:num w:numId="24" w16cid:durableId="316567993">
    <w:abstractNumId w:val="4"/>
  </w:num>
  <w:num w:numId="25" w16cid:durableId="124391662">
    <w:abstractNumId w:val="4"/>
  </w:num>
  <w:num w:numId="26" w16cid:durableId="251668761">
    <w:abstractNumId w:val="4"/>
  </w:num>
  <w:num w:numId="27" w16cid:durableId="135489346">
    <w:abstractNumId w:val="4"/>
  </w:num>
  <w:num w:numId="28" w16cid:durableId="191578070">
    <w:abstractNumId w:val="9"/>
  </w:num>
  <w:num w:numId="29" w16cid:durableId="1949698687">
    <w:abstractNumId w:val="2"/>
  </w:num>
  <w:num w:numId="30" w16cid:durableId="1711345183">
    <w:abstractNumId w:val="9"/>
  </w:num>
  <w:num w:numId="31" w16cid:durableId="383212463">
    <w:abstractNumId w:val="9"/>
  </w:num>
  <w:num w:numId="32" w16cid:durableId="1177885734">
    <w:abstractNumId w:val="9"/>
  </w:num>
  <w:num w:numId="33" w16cid:durableId="124080784">
    <w:abstractNumId w:val="9"/>
  </w:num>
  <w:num w:numId="34" w16cid:durableId="97724479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6177B"/>
    <w:rsid w:val="00072C1E"/>
    <w:rsid w:val="000E23A7"/>
    <w:rsid w:val="0010693F"/>
    <w:rsid w:val="00114472"/>
    <w:rsid w:val="00120133"/>
    <w:rsid w:val="00122A5A"/>
    <w:rsid w:val="00154352"/>
    <w:rsid w:val="001550BC"/>
    <w:rsid w:val="001605B9"/>
    <w:rsid w:val="00170EC5"/>
    <w:rsid w:val="00171E66"/>
    <w:rsid w:val="001747C1"/>
    <w:rsid w:val="00184743"/>
    <w:rsid w:val="001E3C75"/>
    <w:rsid w:val="00207DF5"/>
    <w:rsid w:val="00280E07"/>
    <w:rsid w:val="002949E0"/>
    <w:rsid w:val="002C31BF"/>
    <w:rsid w:val="002D08B1"/>
    <w:rsid w:val="002D21D5"/>
    <w:rsid w:val="002D725B"/>
    <w:rsid w:val="002E0CD7"/>
    <w:rsid w:val="002F0253"/>
    <w:rsid w:val="002F5BFF"/>
    <w:rsid w:val="00317055"/>
    <w:rsid w:val="00341DCF"/>
    <w:rsid w:val="003503EC"/>
    <w:rsid w:val="00357BC6"/>
    <w:rsid w:val="003956C6"/>
    <w:rsid w:val="003B0D93"/>
    <w:rsid w:val="003C251E"/>
    <w:rsid w:val="00406D41"/>
    <w:rsid w:val="0044029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0E4"/>
    <w:rsid w:val="00523EA7"/>
    <w:rsid w:val="00553375"/>
    <w:rsid w:val="00557C28"/>
    <w:rsid w:val="005736B7"/>
    <w:rsid w:val="00575E5A"/>
    <w:rsid w:val="005E5485"/>
    <w:rsid w:val="005F1404"/>
    <w:rsid w:val="0061068E"/>
    <w:rsid w:val="006501B0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3D88"/>
    <w:rsid w:val="00710723"/>
    <w:rsid w:val="00723ED1"/>
    <w:rsid w:val="00732BAE"/>
    <w:rsid w:val="00743525"/>
    <w:rsid w:val="0075648E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B2E89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1415"/>
    <w:rsid w:val="00992D9C"/>
    <w:rsid w:val="00996CB8"/>
    <w:rsid w:val="009B14A9"/>
    <w:rsid w:val="009B2E97"/>
    <w:rsid w:val="009E07F4"/>
    <w:rsid w:val="009F392E"/>
    <w:rsid w:val="00A3758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32A7"/>
    <w:rsid w:val="00B75EE1"/>
    <w:rsid w:val="00B77481"/>
    <w:rsid w:val="00B83977"/>
    <w:rsid w:val="00B8518B"/>
    <w:rsid w:val="00BB3417"/>
    <w:rsid w:val="00BC237A"/>
    <w:rsid w:val="00BD7E91"/>
    <w:rsid w:val="00C02D0A"/>
    <w:rsid w:val="00C03A6E"/>
    <w:rsid w:val="00C17A08"/>
    <w:rsid w:val="00C44F6A"/>
    <w:rsid w:val="00C47AE3"/>
    <w:rsid w:val="00C67450"/>
    <w:rsid w:val="00CD1FC4"/>
    <w:rsid w:val="00D21061"/>
    <w:rsid w:val="00D4108E"/>
    <w:rsid w:val="00D6163D"/>
    <w:rsid w:val="00D73D46"/>
    <w:rsid w:val="00D831A3"/>
    <w:rsid w:val="00D855CA"/>
    <w:rsid w:val="00DA39B9"/>
    <w:rsid w:val="00DA696A"/>
    <w:rsid w:val="00DC75F3"/>
    <w:rsid w:val="00DD46F3"/>
    <w:rsid w:val="00DE56F2"/>
    <w:rsid w:val="00DF09FD"/>
    <w:rsid w:val="00DF116D"/>
    <w:rsid w:val="00DF1397"/>
    <w:rsid w:val="00E36C4A"/>
    <w:rsid w:val="00E42729"/>
    <w:rsid w:val="00E75DFF"/>
    <w:rsid w:val="00EB104F"/>
    <w:rsid w:val="00ED14BD"/>
    <w:rsid w:val="00F03F16"/>
    <w:rsid w:val="00F0533E"/>
    <w:rsid w:val="00F1048D"/>
    <w:rsid w:val="00F12DEC"/>
    <w:rsid w:val="00F1715C"/>
    <w:rsid w:val="00F17B27"/>
    <w:rsid w:val="00F310F8"/>
    <w:rsid w:val="00F35939"/>
    <w:rsid w:val="00F45607"/>
    <w:rsid w:val="00F5558F"/>
    <w:rsid w:val="00F659EB"/>
    <w:rsid w:val="00F75BDC"/>
    <w:rsid w:val="00F86BA6"/>
    <w:rsid w:val="00F95598"/>
    <w:rsid w:val="00FC6389"/>
    <w:rsid w:val="00FD2277"/>
    <w:rsid w:val="00FD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73DA256-04A2-47F6-9CC3-D96729D661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1</Pages>
  <Words>229</Words>
  <Characters>1347</Characters>
  <Application>Microsoft Office Word</Application>
  <DocSecurity>0</DocSecurity>
  <Lines>24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Schmittová Pavlína</cp:lastModifiedBy>
  <cp:revision>20</cp:revision>
  <cp:lastPrinted>2025-10-21T11:09:00Z</cp:lastPrinted>
  <dcterms:created xsi:type="dcterms:W3CDTF">2024-03-27T09:46:00Z</dcterms:created>
  <dcterms:modified xsi:type="dcterms:W3CDTF">2026-01-19T10:23:00Z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